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33DD5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D33DD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27"/>
        <w:gridCol w:w="2402"/>
        <w:gridCol w:w="527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Червак Iгор Iванович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D33DD5">
      <w:pPr>
        <w:rPr>
          <w:rFonts w:eastAsia="Times New Roman"/>
          <w:color w:val="000000"/>
        </w:rPr>
      </w:pPr>
    </w:p>
    <w:p w:rsidR="00000000" w:rsidRDefault="00D33DD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D33DD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"Лантманнен Акса"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08300, м.Бориспiль, вул.Привокзальна, буд.3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00378537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(04595)71551 (044)3717809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irina.pronina@axa.ua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33DD5">
      <w:pPr>
        <w:rPr>
          <w:rFonts w:eastAsia="Times New Roman"/>
          <w:color w:val="000000"/>
        </w:rPr>
      </w:pPr>
    </w:p>
    <w:p w:rsidR="00000000" w:rsidRDefault="00D33DD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275"/>
        <w:gridCol w:w="2610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</w:t>
            </w:r>
            <w:r>
              <w:rPr>
                <w:rFonts w:eastAsia="Times New Roman"/>
                <w:color w:val="000000"/>
              </w:rPr>
              <w:t>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79(2832) Вiдомостi Нацiональної комiсiї з цiнних паперiв та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www.lantmannen.ua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D33DD5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D33DD5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947"/>
        <w:gridCol w:w="2947"/>
        <w:gridCol w:w="3683"/>
        <w:gridCol w:w="4419"/>
        <w:gridCol w:w="36"/>
        <w:gridCol w:w="36"/>
        <w:gridCol w:w="36"/>
      </w:tblGrid>
      <w:tr w:rsidR="00000000">
        <w:trPr>
          <w:gridAfter w:val="3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сукупність вартості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</w:t>
            </w:r>
            <w:r>
              <w:rPr>
                <w:rFonts w:eastAsia="Times New Roman"/>
                <w:b/>
                <w:bCs/>
                <w:color w:val="000000"/>
              </w:rPr>
              <w:t>танньої річної фінансової звітності (у відсотках)</w:t>
            </w:r>
          </w:p>
        </w:tc>
      </w:tr>
      <w:tr w:rsidR="00000000">
        <w:trPr>
          <w:gridAfter w:val="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До</w:t>
            </w:r>
            <w:r>
              <w:rPr>
                <w:rFonts w:eastAsia="Times New Roman"/>
                <w:color w:val="000000"/>
              </w:rPr>
              <w:t>говори/контракти на поставку сировини.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До</w:t>
            </w:r>
            <w:r>
              <w:rPr>
                <w:rFonts w:eastAsia="Times New Roman"/>
                <w:color w:val="000000"/>
              </w:rPr>
              <w:t>говори/контракти на поставку пакування, тари.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До</w:t>
            </w:r>
            <w:r>
              <w:rPr>
                <w:rFonts w:eastAsia="Times New Roman"/>
                <w:color w:val="000000"/>
              </w:rPr>
              <w:t>говори/контракти на поставку продукцiї Товариства (без врахування маркетингових, логiстичних та iнших послуг, що можуть бути в одному договорi/контрактi).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До</w:t>
            </w:r>
            <w:r>
              <w:rPr>
                <w:rFonts w:eastAsia="Times New Roman"/>
                <w:color w:val="000000"/>
              </w:rPr>
              <w:t>говори/контракти про надання/отримання послуг.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23.66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"проти" прийняття рiшення – немає.</w:t>
            </w:r>
            <w:r>
              <w:rPr>
                <w:rFonts w:eastAsia="Times New Roman"/>
                <w:color w:val="000000"/>
              </w:rPr>
              <w:br/>
              <w:t>Дог</w:t>
            </w:r>
            <w:r>
              <w:rPr>
                <w:rFonts w:eastAsia="Times New Roman"/>
                <w:color w:val="000000"/>
              </w:rPr>
              <w:t>овори/контракти страхування, з кадрових питань.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23.66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До</w:t>
            </w:r>
            <w:r>
              <w:rPr>
                <w:rFonts w:eastAsia="Times New Roman"/>
                <w:color w:val="000000"/>
              </w:rPr>
              <w:t>говори/контракти про надання/отримання ремонтних, монтажних, iнженерних послуг/робiт.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23.66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</w:t>
            </w:r>
            <w:r>
              <w:rPr>
                <w:rFonts w:eastAsia="Times New Roman"/>
                <w:color w:val="000000"/>
              </w:rPr>
              <w:lastRenderedPageBreak/>
              <w:t xml:space="preserve">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"проти" прийняття рiшення – немає.</w:t>
            </w:r>
            <w:r>
              <w:rPr>
                <w:rFonts w:eastAsia="Times New Roman"/>
                <w:color w:val="000000"/>
              </w:rPr>
              <w:br/>
              <w:t>Дог</w:t>
            </w:r>
            <w:r>
              <w:rPr>
                <w:rFonts w:eastAsia="Times New Roman"/>
                <w:color w:val="000000"/>
              </w:rPr>
              <w:t>овори/контракти на закупiвлю запасних частин/машин, необхiдних для здiйснення виробничого/технологiчного процесу.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23.66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До</w:t>
            </w:r>
            <w:r>
              <w:rPr>
                <w:rFonts w:eastAsia="Times New Roman"/>
                <w:color w:val="000000"/>
              </w:rPr>
              <w:t>говори/контракти логiстики, транспортне, експедиторське забезпечення.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47.31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До</w:t>
            </w:r>
            <w:r>
              <w:rPr>
                <w:rFonts w:eastAsia="Times New Roman"/>
                <w:color w:val="000000"/>
              </w:rPr>
              <w:t>говори/контракти маркетингу, розмiщення, вироблення реклами.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23.66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До</w:t>
            </w:r>
            <w:r>
              <w:rPr>
                <w:rFonts w:eastAsia="Times New Roman"/>
                <w:color w:val="000000"/>
              </w:rPr>
              <w:t>говори/контракти на забезпечення електроенергiєю, газом, водопостачання, каналiзацiї, утилiзацiю вiдходiв.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До</w:t>
            </w:r>
            <w:r>
              <w:rPr>
                <w:rFonts w:eastAsia="Times New Roman"/>
                <w:color w:val="000000"/>
              </w:rPr>
              <w:t xml:space="preserve">говори/контракти з фiнансових питань, з отримання кредитiв/кредитних лiнiй.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211358000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23.66</w:t>
            </w: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3D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3DD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(протокол № 29 вiд 20.04.2018 р.) прийнято рiшення: Схвалити вчинення значних правочинiв товариства, що можуть стати такими, протягом одного року, але у будь-якому разi до наступних Загальних зборiв акцiонерiв, та таких, що мо</w:t>
            </w:r>
            <w:r>
              <w:rPr>
                <w:rFonts w:eastAsia="Times New Roman"/>
                <w:color w:val="000000"/>
              </w:rPr>
              <w:t xml:space="preserve">жуть бути необхiдними для належного функцiонування Товариства та, якi будуть укладатися протягом одного року, але у будь-якому разi до наступних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– 1 265 212 216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</w:t>
            </w:r>
            <w:r>
              <w:rPr>
                <w:rFonts w:eastAsia="Times New Roman"/>
                <w:color w:val="000000"/>
              </w:rPr>
              <w:t xml:space="preserve"> акцiй, що зареєстрованi для участi у загальних зборах – 1 265 169 393 голосiв.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– 1 265 169 393 голосiв.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 – немає. </w:t>
            </w:r>
            <w:r>
              <w:rPr>
                <w:rFonts w:eastAsia="Times New Roman"/>
                <w:color w:val="000000"/>
              </w:rPr>
              <w:br/>
              <w:t>Iн</w:t>
            </w:r>
            <w:r>
              <w:rPr>
                <w:rFonts w:eastAsia="Times New Roman"/>
                <w:color w:val="000000"/>
              </w:rPr>
              <w:t>шi договори/контракти, необхiднi для здiйснення господарської дiяльностi товариства.</w:t>
            </w:r>
          </w:p>
        </w:tc>
      </w:tr>
    </w:tbl>
    <w:p w:rsidR="00D33DD5" w:rsidRDefault="00D33DD5">
      <w:pPr>
        <w:rPr>
          <w:rFonts w:eastAsia="Times New Roman"/>
        </w:rPr>
      </w:pPr>
    </w:p>
    <w:sectPr w:rsidR="00D33DD5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91"/>
    <w:rsid w:val="004A4991"/>
    <w:rsid w:val="00D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ECA5-1D71-46D8-AD7A-A6462BA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8042</Words>
  <Characters>4585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Zarytska</dc:creator>
  <cp:keywords/>
  <dc:description/>
  <cp:lastModifiedBy>Anna Zarytska</cp:lastModifiedBy>
  <cp:revision>2</cp:revision>
  <dcterms:created xsi:type="dcterms:W3CDTF">2018-04-27T08:31:00Z</dcterms:created>
  <dcterms:modified xsi:type="dcterms:W3CDTF">2018-04-27T08:31:00Z</dcterms:modified>
</cp:coreProperties>
</file>